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405755">
        <w:t>Document reference</w:t>
      </w:r>
    </w:p>
    <w:p w14:paraId="046B361B" w14:textId="77777777" w:rsidR="00111E0A" w:rsidRPr="00405755" w:rsidRDefault="00111E0A" w:rsidP="003274DB">
      <w:bookmarkStart w:id="0" w:name="_GoBack"/>
      <w:bookmarkEnd w:id="0"/>
    </w:p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166AAFA" w14:textId="4C37C21D" w:rsidR="00D95E23" w:rsidRDefault="00D95E23" w:rsidP="00470488">
      <w:pPr>
        <w:pStyle w:val="List1-recommendation"/>
      </w:pPr>
      <w:r>
        <w:t xml:space="preserve">The </w:t>
      </w:r>
      <w:commentRangeStart w:id="2"/>
      <w:r>
        <w:t xml:space="preserve">provisions of IALA Standard </w:t>
      </w:r>
      <w:commentRangeEnd w:id="2"/>
      <w:r w:rsidR="005B7361">
        <w:rPr>
          <w:rStyle w:val="CommentReference"/>
        </w:rPr>
        <w:commentReference w:id="2"/>
      </w:r>
      <w:r>
        <w:t>1010 on Aids to Navigation (AtoN) Planning</w:t>
      </w:r>
      <w:r w:rsidR="00AF4062">
        <w:t xml:space="preserve"> and</w:t>
      </w:r>
      <w:r>
        <w:t xml:space="preserve"> the provisions of IALA Standard 1070 </w:t>
      </w:r>
      <w:r w:rsidR="00AF4062">
        <w:t>on Information Services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economic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6E6DE6BD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AF4062" w:rsidRPr="00AF4062">
        <w:rPr>
          <w:iCs/>
        </w:rPr>
        <w:t>IALA Enavigation</w:t>
      </w:r>
      <w:r w:rsidR="008F5B6A">
        <w:rPr>
          <w:iCs/>
        </w:rPr>
        <w:t xml:space="preserve"> (ENAV)</w:t>
      </w:r>
      <w:r w:rsidR="00AF4062" w:rsidRPr="00AF4062">
        <w:rPr>
          <w:iCs/>
        </w:rPr>
        <w:t xml:space="preserve"> Committee</w:t>
      </w:r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1537E72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>
        <w:t>,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amendments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>
        <w:rPr>
          <w:b/>
        </w:rPr>
        <w:t>RECOMMENDATIONS ON MASS</w:t>
      </w:r>
    </w:p>
    <w:p w14:paraId="2EC86D27" w14:textId="30104CB6" w:rsidR="004E4D98" w:rsidRDefault="008F5B6A" w:rsidP="00E93C3D">
      <w:pPr>
        <w:pStyle w:val="Lista-recommendation"/>
      </w:pPr>
      <w:bookmarkStart w:id="3" w:name="_Ref361228803"/>
      <w:bookmarkStart w:id="4" w:name="_Toc359496675"/>
      <w:bookmarkEnd w:id="3"/>
      <w:bookmarkEnd w:id="4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07CEAB6F" w14:textId="01E2AF19" w:rsidR="008F5B6A" w:rsidRPr="00405755" w:rsidRDefault="008F5B6A" w:rsidP="00E93C3D">
      <w:pPr>
        <w:pStyle w:val="Lista-recommendation"/>
      </w:pPr>
      <w:commentRangeStart w:id="5"/>
      <w:r>
        <w:t xml:space="preserve">The provision of AtoN, including procedures in VTS, are developed to reflect existing international best practice, as reflected in related IMO and IALA documentation.  </w:t>
      </w:r>
      <w:commentRangeEnd w:id="5"/>
      <w:r>
        <w:rPr>
          <w:rStyle w:val="CommentReference"/>
          <w:rFonts w:eastAsiaTheme="minorHAnsi" w:cstheme="minorBidi"/>
          <w:lang w:eastAsia="en-US"/>
        </w:rPr>
        <w:commentReference w:id="5"/>
      </w:r>
    </w:p>
    <w:bookmarkEnd w:id="1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Jillian Carson-Jackson" w:date="2020-03-30T19:39:00Z" w:initials="JC">
    <w:p w14:paraId="298276F7" w14:textId="1036A361" w:rsidR="00386214" w:rsidRDefault="00386214">
      <w:pPr>
        <w:pStyle w:val="CommentText"/>
      </w:pPr>
      <w:r>
        <w:rPr>
          <w:rStyle w:val="CommentReference"/>
        </w:rPr>
        <w:annotationRef/>
      </w:r>
      <w:r>
        <w:t>Minsu to confirm the standard references</w:t>
      </w:r>
    </w:p>
  </w:comment>
  <w:comment w:id="5" w:author="Jillian Carson-Jackson" w:date="2020-01-30T18:55:00Z" w:initials="JC">
    <w:p w14:paraId="1677F814" w14:textId="1C20DB95" w:rsidR="00386214" w:rsidRDefault="00386214">
      <w:pPr>
        <w:pStyle w:val="CommentText"/>
      </w:pPr>
      <w:r>
        <w:rPr>
          <w:rStyle w:val="CommentReference"/>
        </w:rPr>
        <w:annotationRef/>
      </w:r>
      <w:r>
        <w:t xml:space="preserve">Trying to make the link to existing documentation that will still be suitable in a MASS, and a transition to a MASS, environment.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8276F7" w15:done="0"/>
  <w15:commentEx w15:paraId="1677F8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8276F7" w16cid:durableId="222CC97E"/>
  <w16cid:commentId w16cid:paraId="1677F814" w16cid:durableId="21DDA5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9B0DA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06A885F9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674226CB" w:rsidR="00386214" w:rsidRDefault="00386214" w:rsidP="007A72CF">
    <w:pPr>
      <w:pStyle w:val="Footerportrait"/>
    </w:pPr>
    <w:fldSimple w:instr=" STYLEREF &quot;Edition number&quot; \* MERGEFORMAT ">
      <w:r>
        <w:t>Edition 1.0</w:t>
      </w:r>
    </w:fldSimple>
    <w:r>
      <w:t xml:space="preserve"> </w:t>
    </w:r>
    <w:fldSimple w:instr=" STYLEREF &quot;Document date&quot; \* MERGEFORMAT ">
      <w:r>
        <w:t>Document date</w:t>
      </w:r>
    </w:fldSimple>
    <w:r>
      <w:tab/>
    </w:r>
    <w:r w:rsidRPr="007A72CF">
      <w:t xml:space="preserve">P </w:t>
    </w:r>
    <w:r w:rsidRPr="007A72CF">
      <w:fldChar w:fldCharType="begin"/>
    </w:r>
    <w:r w:rsidRPr="007A72CF">
      <w:instrText xml:space="preserve">PAGE  </w:instrText>
    </w:r>
    <w:r w:rsidRPr="007A72CF">
      <w:fldChar w:fldCharType="separate"/>
    </w:r>
    <w:r>
      <w:t>3</w:t>
    </w:r>
    <w:r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FBE71" w14:textId="77777777" w:rsidR="00386214" w:rsidRDefault="00386214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DFE5" w14:textId="77777777" w:rsidR="00386214" w:rsidRPr="00ED2A8D" w:rsidRDefault="00386214" w:rsidP="008747E0">
    <w:pPr>
      <w:pStyle w:val="Header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551AC370" w:rsidR="00386214" w:rsidRDefault="00386214" w:rsidP="00FB12AB">
    <w:pPr>
      <w:pStyle w:val="Header"/>
      <w:jc w:val="right"/>
    </w:pPr>
    <w:r w:rsidRPr="00FB12AB">
      <w:t>ENAV26-5.1.1.</w:t>
    </w:r>
    <w:r>
      <w:t>5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C60D5" w14:textId="77777777" w:rsidR="00386214" w:rsidRDefault="00386214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052E4" w14:textId="77777777" w:rsidR="00386214" w:rsidRDefault="00386214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EAC60" w14:textId="77777777" w:rsidR="00386214" w:rsidRPr="00ED2A8D" w:rsidRDefault="00386214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AB2E7" w14:textId="77777777" w:rsidR="00386214" w:rsidRDefault="00386214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5EFB0" w14:textId="77777777" w:rsidR="00386214" w:rsidRDefault="00386214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A9FB5" w14:textId="77777777" w:rsidR="00386214" w:rsidRPr="00667792" w:rsidRDefault="00386214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7B012" w14:textId="77777777" w:rsidR="00386214" w:rsidRDefault="00386214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2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1915"/>
    <w:rsid w:val="00122F59"/>
    <w:rsid w:val="001349DB"/>
    <w:rsid w:val="00136E58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DBD0A-E636-491D-A064-C5DE6BD6D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</Template>
  <TotalTime>0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Jaime Alvarez</cp:lastModifiedBy>
  <cp:revision>4</cp:revision>
  <dcterms:created xsi:type="dcterms:W3CDTF">2020-03-30T08:44:00Z</dcterms:created>
  <dcterms:modified xsi:type="dcterms:W3CDTF">2020-09-23T10:01:00Z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